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12F283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F9305F">
        <w:rPr>
          <w:bCs/>
          <w:noProof w:val="0"/>
          <w:sz w:val="24"/>
          <w:szCs w:val="24"/>
        </w:rPr>
        <w:t>1290</w:t>
      </w:r>
    </w:p>
    <w:p w14:paraId="11776FA6" w14:textId="700080DE"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261A8A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515F0">
        <w:rPr>
          <w:rFonts w:cs="Arial"/>
          <w:b/>
          <w:bCs/>
          <w:sz w:val="24"/>
          <w:lang w:eastAsia="ja-JP"/>
        </w:rPr>
        <w:t>8.19.3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AC0CB4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15F0">
        <w:rPr>
          <w:rFonts w:ascii="Arial" w:hAnsi="Arial" w:cs="Arial"/>
          <w:b/>
          <w:bCs/>
          <w:sz w:val="24"/>
        </w:rPr>
        <w:t>On early indication for enhanced RedCap</w:t>
      </w:r>
    </w:p>
    <w:p w14:paraId="25F387E8" w14:textId="18C8F23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515F0" w:rsidRPr="000515F0">
        <w:rPr>
          <w:rFonts w:ascii="Arial" w:hAnsi="Arial" w:cs="Arial"/>
          <w:b/>
          <w:bCs/>
          <w:sz w:val="24"/>
        </w:rPr>
        <w:t xml:space="preserve">NR_redcap_enh-Core </w:t>
      </w:r>
      <w:r>
        <w:rPr>
          <w:rFonts w:ascii="Arial" w:hAnsi="Arial" w:cs="Arial"/>
          <w:b/>
          <w:bCs/>
          <w:sz w:val="24"/>
        </w:rPr>
        <w:t xml:space="preserve">- Release </w:t>
      </w:r>
      <w:r w:rsidR="000515F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1BA87B69" w:rsidR="009339CB" w:rsidRDefault="000515F0" w:rsidP="009339CB">
      <w:pPr>
        <w:rPr>
          <w:rFonts w:eastAsia="MS Mincho"/>
          <w:lang w:val="en-US" w:eastAsia="ja-JP"/>
        </w:rPr>
      </w:pPr>
      <w:r>
        <w:rPr>
          <w:lang w:val="en-US"/>
        </w:rPr>
        <w:t>T</w:t>
      </w:r>
      <w:r w:rsidRPr="00484243">
        <w:rPr>
          <w:lang w:val="en-US"/>
        </w:rPr>
        <w:t>he work item on enhanced support of reduced capability NR devices</w:t>
      </w:r>
      <w:r>
        <w:rPr>
          <w:lang w:val="en-US"/>
        </w:rPr>
        <w:t xml:space="preserve"> was approved in </w:t>
      </w:r>
      <w:hyperlink r:id="rId12" w:history="1">
        <w:r w:rsidRPr="000515F0">
          <w:rPr>
            <w:rStyle w:val="Hyperlink"/>
            <w:rFonts w:eastAsia="MS Mincho"/>
            <w:lang w:val="en-US" w:eastAsia="ja-JP"/>
          </w:rPr>
          <w:t>RP-223544</w:t>
        </w:r>
      </w:hyperlink>
      <w:r>
        <w:rPr>
          <w:rFonts w:eastAsia="MS Mincho"/>
          <w:lang w:val="en-US" w:eastAsia="ja-JP"/>
        </w:rPr>
        <w:t xml:space="preserve">. </w:t>
      </w:r>
      <w:r w:rsidR="00E02BF1">
        <w:rPr>
          <w:rFonts w:eastAsia="MS Mincho"/>
          <w:lang w:val="en-US" w:eastAsia="ja-JP"/>
        </w:rPr>
        <w:t>RAN1 has already made good progress for the WID and has agreed, e.g., the followings:</w:t>
      </w:r>
    </w:p>
    <w:p w14:paraId="348080D6" w14:textId="77777777" w:rsidR="00E02BF1" w:rsidRPr="00BD739A" w:rsidRDefault="00E02BF1" w:rsidP="00E02BF1">
      <w:pPr>
        <w:spacing w:after="0"/>
        <w:jc w:val="both"/>
        <w:rPr>
          <w:b/>
          <w:highlight w:val="green"/>
          <w:lang w:val="en-US"/>
        </w:rPr>
      </w:pPr>
      <w:r w:rsidRPr="00BD739A">
        <w:rPr>
          <w:b/>
          <w:highlight w:val="green"/>
          <w:lang w:val="en-US"/>
        </w:rPr>
        <w:t xml:space="preserve">Agreement </w:t>
      </w:r>
    </w:p>
    <w:p w14:paraId="40DB57BA" w14:textId="77777777" w:rsidR="00E02BF1" w:rsidRPr="00430ACB" w:rsidRDefault="00E02BF1" w:rsidP="00E02BF1">
      <w:pPr>
        <w:spacing w:after="0"/>
        <w:jc w:val="both"/>
        <w:rPr>
          <w:bCs/>
          <w:lang w:val="en-US"/>
        </w:rPr>
      </w:pPr>
      <w:r w:rsidRPr="00430ACB">
        <w:rPr>
          <w:bCs/>
          <w:lang w:val="en-US"/>
        </w:rPr>
        <w:t>For UE BB complexity reduction, a UE is not expected to receive an UL grant in a RAR or in a DCI scrambled with TC-RNTI with a Msg3 PUSCH resource allocation spanning a bandwidth of more than ~5 MHz per slot or per hop, if applicable.</w:t>
      </w:r>
    </w:p>
    <w:p w14:paraId="57A0B5BE" w14:textId="77777777" w:rsidR="00E02BF1" w:rsidRDefault="00E02BF1" w:rsidP="00E02BF1">
      <w:pPr>
        <w:pStyle w:val="ListParagraph"/>
        <w:spacing w:after="0"/>
        <w:jc w:val="both"/>
        <w:rPr>
          <w:rFonts w:eastAsia="Microsoft YaHei UI"/>
          <w:b/>
          <w:strike/>
          <w:lang w:val="en-US" w:eastAsia="zh-CN"/>
        </w:rPr>
      </w:pPr>
    </w:p>
    <w:p w14:paraId="4B6920F9" w14:textId="77777777" w:rsidR="00E02BF1" w:rsidRPr="0060243A" w:rsidRDefault="00E02BF1" w:rsidP="00E02BF1">
      <w:pPr>
        <w:spacing w:after="0"/>
        <w:jc w:val="both"/>
        <w:rPr>
          <w:b/>
          <w:highlight w:val="green"/>
          <w:lang w:val="en-US"/>
        </w:rPr>
      </w:pPr>
      <w:r w:rsidRPr="0060243A">
        <w:rPr>
          <w:rFonts w:hint="eastAsia"/>
          <w:b/>
          <w:highlight w:val="green"/>
          <w:lang w:val="en-US"/>
        </w:rPr>
        <w:t>Agreement</w:t>
      </w:r>
    </w:p>
    <w:p w14:paraId="1B22E054" w14:textId="77777777" w:rsidR="00E02BF1" w:rsidRPr="00430ACB" w:rsidRDefault="00E02BF1" w:rsidP="00E02BF1">
      <w:pPr>
        <w:spacing w:after="0"/>
        <w:jc w:val="both"/>
        <w:rPr>
          <w:bCs/>
          <w:lang w:val="en-US"/>
        </w:rPr>
      </w:pPr>
      <w:r w:rsidRPr="00430ACB">
        <w:rPr>
          <w:bCs/>
          <w:lang w:val="en-US"/>
        </w:rPr>
        <w:t>For UE BB bandwidth reduction, for RAR (PDSCH) to Rel-18 RedCap UEs, the</w:t>
      </w:r>
      <w:r w:rsidRPr="00430ACB">
        <w:rPr>
          <w:rFonts w:eastAsia="MS PGothic"/>
          <w:bCs/>
          <w:lang w:val="en-US" w:eastAsia="ja-JP"/>
        </w:rPr>
        <w:t xml:space="preserve"> scheduling of RAR PDSCH is allowed to be larger than the maximum number of unicast PRBs that the UE can process per slot.</w:t>
      </w:r>
    </w:p>
    <w:p w14:paraId="2404B143" w14:textId="77777777" w:rsidR="00E02BF1" w:rsidRPr="00430ACB" w:rsidRDefault="00E02BF1" w:rsidP="00E02BF1">
      <w:pPr>
        <w:pStyle w:val="ListParagraph"/>
        <w:numPr>
          <w:ilvl w:val="0"/>
          <w:numId w:val="8"/>
        </w:numPr>
        <w:overflowPunct/>
        <w:autoSpaceDE/>
        <w:autoSpaceDN/>
        <w:adjustRightInd/>
        <w:spacing w:after="0"/>
        <w:jc w:val="both"/>
        <w:textAlignment w:val="auto"/>
        <w:rPr>
          <w:bCs/>
          <w:lang w:val="en-US"/>
        </w:rPr>
      </w:pPr>
      <w:r w:rsidRPr="00430ACB">
        <w:rPr>
          <w:rFonts w:eastAsia="MS PGothic"/>
          <w:bCs/>
        </w:rPr>
        <w:t>When the scheduling of RAR PDSCH is within the maximum number of unicast PRBs that the UE can process per slot, the legacy time between RAR reception and Msg3 transmission (not smaller than N</w:t>
      </w:r>
      <w:r w:rsidRPr="00430ACB">
        <w:rPr>
          <w:rFonts w:eastAsia="MS PGothic"/>
          <w:bCs/>
          <w:vertAlign w:val="subscript"/>
        </w:rPr>
        <w:t>T,1</w:t>
      </w:r>
      <w:r w:rsidRPr="00430ACB">
        <w:rPr>
          <w:rFonts w:eastAsia="MS PGothic"/>
          <w:bCs/>
        </w:rPr>
        <w:t xml:space="preserve"> + N</w:t>
      </w:r>
      <w:r w:rsidRPr="00430ACB">
        <w:rPr>
          <w:rFonts w:eastAsia="MS PGothic"/>
          <w:bCs/>
          <w:vertAlign w:val="subscript"/>
        </w:rPr>
        <w:t>T,2</w:t>
      </w:r>
      <w:r w:rsidRPr="00430ACB">
        <w:rPr>
          <w:rFonts w:eastAsia="MS PGothic"/>
          <w:bCs/>
        </w:rPr>
        <w:t xml:space="preserve"> + 0.5 ms) is applied.</w:t>
      </w:r>
    </w:p>
    <w:p w14:paraId="63111A66" w14:textId="77777777" w:rsidR="00E02BF1" w:rsidRPr="00430ACB" w:rsidRDefault="00E02BF1" w:rsidP="00E02BF1">
      <w:pPr>
        <w:pStyle w:val="ListParagraph"/>
        <w:numPr>
          <w:ilvl w:val="0"/>
          <w:numId w:val="8"/>
        </w:numPr>
        <w:overflowPunct/>
        <w:autoSpaceDE/>
        <w:autoSpaceDN/>
        <w:adjustRightInd/>
        <w:spacing w:after="0"/>
        <w:jc w:val="both"/>
        <w:textAlignment w:val="auto"/>
        <w:rPr>
          <w:bCs/>
          <w:lang w:val="en-US"/>
        </w:rPr>
      </w:pPr>
      <w:r w:rsidRPr="00430ACB">
        <w:rPr>
          <w:rFonts w:eastAsia="MS PGothic"/>
          <w:bCs/>
          <w:lang w:val="en-US"/>
        </w:rPr>
        <w:t>When the scheduling of RAR PDSCH is larger than the maximum number of unicast PRBs that the UE can process per slot,</w:t>
      </w:r>
    </w:p>
    <w:p w14:paraId="222EAAB3" w14:textId="77777777" w:rsidR="00E02BF1" w:rsidRPr="00430ACB" w:rsidRDefault="00E02BF1" w:rsidP="00E02BF1">
      <w:pPr>
        <w:numPr>
          <w:ilvl w:val="1"/>
          <w:numId w:val="8"/>
        </w:numPr>
        <w:tabs>
          <w:tab w:val="left" w:pos="720"/>
          <w:tab w:val="left" w:pos="1440"/>
        </w:tabs>
        <w:spacing w:after="0"/>
        <w:jc w:val="both"/>
        <w:rPr>
          <w:rFonts w:eastAsia="MS PGothic"/>
          <w:bCs/>
          <w:lang w:val="en-US" w:eastAsia="ja-JP"/>
        </w:rPr>
      </w:pPr>
      <w:r w:rsidRPr="00430ACB">
        <w:rPr>
          <w:rFonts w:eastAsia="MS PGothic"/>
          <w:bCs/>
          <w:lang w:val="en-US" w:eastAsia="ja-JP"/>
        </w:rPr>
        <w:t>The UE receives the RAR and correspondingly transmits Msg3 if the TDRA for Msg3 in UL grant in RAR indicates that the time between RAR reception and Msg3 transmission is NOT smaller than N</w:t>
      </w:r>
      <w:r w:rsidRPr="00430ACB">
        <w:rPr>
          <w:rFonts w:eastAsia="MS PGothic"/>
          <w:bCs/>
          <w:vertAlign w:val="subscript"/>
          <w:lang w:val="en-US" w:eastAsia="ja-JP"/>
        </w:rPr>
        <w:t>T,1</w:t>
      </w:r>
      <w:r w:rsidRPr="00430ACB">
        <w:rPr>
          <w:rFonts w:eastAsia="MS PGothic"/>
          <w:bCs/>
          <w:lang w:val="en-US" w:eastAsia="ja-JP"/>
        </w:rPr>
        <w:t xml:space="preserve"> + N</w:t>
      </w:r>
      <w:r w:rsidRPr="00430ACB">
        <w:rPr>
          <w:rFonts w:eastAsia="MS PGothic"/>
          <w:bCs/>
          <w:vertAlign w:val="subscript"/>
          <w:lang w:val="en-US" w:eastAsia="ja-JP"/>
        </w:rPr>
        <w:t>T,2</w:t>
      </w:r>
      <w:r w:rsidRPr="00430ACB">
        <w:rPr>
          <w:rFonts w:eastAsia="MS PGothic"/>
          <w:bCs/>
          <w:lang w:val="en-US" w:eastAsia="ja-JP"/>
        </w:rPr>
        <w:t xml:space="preserve"> + 0.5 + X ms.</w:t>
      </w:r>
    </w:p>
    <w:p w14:paraId="7357613A" w14:textId="77777777" w:rsidR="00E02BF1" w:rsidRPr="00430ACB" w:rsidRDefault="00E02BF1" w:rsidP="00E02BF1">
      <w:pPr>
        <w:numPr>
          <w:ilvl w:val="2"/>
          <w:numId w:val="8"/>
        </w:numPr>
        <w:tabs>
          <w:tab w:val="left" w:pos="1440"/>
          <w:tab w:val="left" w:pos="2160"/>
        </w:tabs>
        <w:spacing w:after="0"/>
        <w:jc w:val="both"/>
        <w:rPr>
          <w:rFonts w:eastAsia="MS PGothic"/>
          <w:bCs/>
          <w:lang w:val="en-US" w:eastAsia="ja-JP"/>
        </w:rPr>
      </w:pPr>
      <w:r w:rsidRPr="00430ACB">
        <w:rPr>
          <w:rFonts w:eastAsia="MS PGothic"/>
          <w:bCs/>
          <w:lang w:val="en-US" w:eastAsia="ja-JP"/>
        </w:rPr>
        <w:t>FFS: value(s) of X</w:t>
      </w:r>
    </w:p>
    <w:p w14:paraId="7A39E3DB" w14:textId="77777777" w:rsidR="00E02BF1" w:rsidRPr="00430ACB" w:rsidRDefault="00E02BF1" w:rsidP="00E02BF1">
      <w:pPr>
        <w:numPr>
          <w:ilvl w:val="1"/>
          <w:numId w:val="8"/>
        </w:numPr>
        <w:tabs>
          <w:tab w:val="left" w:pos="720"/>
          <w:tab w:val="left" w:pos="1440"/>
        </w:tabs>
        <w:spacing w:after="0"/>
        <w:jc w:val="both"/>
        <w:rPr>
          <w:rFonts w:eastAsia="MS PGothic"/>
          <w:bCs/>
          <w:lang w:val="en-US" w:eastAsia="ja-JP"/>
        </w:rPr>
      </w:pPr>
      <w:r w:rsidRPr="00430ACB">
        <w:rPr>
          <w:rFonts w:eastAsia="MS PGothic"/>
          <w:bCs/>
          <w:lang w:val="en-US" w:eastAsia="ja-JP"/>
        </w:rPr>
        <w:t>Otherwise, the UE behavior is up to the UE implementation.</w:t>
      </w:r>
    </w:p>
    <w:p w14:paraId="19E73715" w14:textId="77777777" w:rsidR="00E02BF1" w:rsidRPr="00430ACB" w:rsidRDefault="00E02BF1" w:rsidP="00E02BF1">
      <w:pPr>
        <w:numPr>
          <w:ilvl w:val="0"/>
          <w:numId w:val="8"/>
        </w:numPr>
        <w:tabs>
          <w:tab w:val="left" w:pos="720"/>
          <w:tab w:val="left" w:pos="1440"/>
        </w:tabs>
        <w:spacing w:after="0"/>
        <w:jc w:val="both"/>
        <w:rPr>
          <w:rFonts w:eastAsia="MS PGothic"/>
          <w:bCs/>
          <w:lang w:val="en-US" w:eastAsia="ja-JP"/>
        </w:rPr>
      </w:pPr>
      <w:r w:rsidRPr="00430ACB">
        <w:rPr>
          <w:rFonts w:eastAsia="DengXian"/>
          <w:bCs/>
          <w:lang w:val="en-US" w:eastAsia="zh-CN"/>
        </w:rPr>
        <w:t>Note: it does not mean early indication is needed</w:t>
      </w:r>
    </w:p>
    <w:p w14:paraId="5638D11B" w14:textId="77777777" w:rsidR="00E02BF1" w:rsidRPr="00430ACB" w:rsidRDefault="00E02BF1" w:rsidP="00E02BF1">
      <w:pPr>
        <w:numPr>
          <w:ilvl w:val="0"/>
          <w:numId w:val="8"/>
        </w:numPr>
        <w:tabs>
          <w:tab w:val="left" w:pos="720"/>
          <w:tab w:val="left" w:pos="1440"/>
        </w:tabs>
        <w:spacing w:after="0"/>
        <w:jc w:val="both"/>
        <w:rPr>
          <w:rFonts w:eastAsia="MS PGothic"/>
          <w:bCs/>
          <w:lang w:val="en-US" w:eastAsia="ja-JP"/>
        </w:rPr>
      </w:pPr>
      <w:r w:rsidRPr="00430ACB">
        <w:rPr>
          <w:rFonts w:eastAsia="DengXian" w:hint="eastAsia"/>
          <w:bCs/>
          <w:lang w:val="en-US" w:eastAsia="zh-CN"/>
        </w:rPr>
        <w:t>N</w:t>
      </w:r>
      <w:r w:rsidRPr="00430ACB">
        <w:rPr>
          <w:rFonts w:eastAsia="DengXian"/>
          <w:bCs/>
          <w:lang w:val="en-US" w:eastAsia="zh-CN"/>
        </w:rPr>
        <w:t>ote: it will not be used as example for unicast PDSCH</w:t>
      </w:r>
    </w:p>
    <w:p w14:paraId="50E4FBF8" w14:textId="2599B4F4" w:rsidR="00E02BF1" w:rsidRDefault="00E02BF1" w:rsidP="009339CB">
      <w:pPr>
        <w:rPr>
          <w:lang w:val="en-US"/>
        </w:rPr>
      </w:pPr>
    </w:p>
    <w:p w14:paraId="728B3830" w14:textId="77777777" w:rsidR="00E02BF1" w:rsidRPr="00F8590D" w:rsidRDefault="00E02BF1" w:rsidP="00E02BF1">
      <w:pPr>
        <w:spacing w:after="0"/>
        <w:jc w:val="both"/>
        <w:rPr>
          <w:b/>
          <w:highlight w:val="green"/>
          <w:lang w:val="en-US"/>
        </w:rPr>
      </w:pPr>
      <w:r w:rsidRPr="00F8590D">
        <w:rPr>
          <w:b/>
          <w:highlight w:val="green"/>
          <w:lang w:val="en-US"/>
        </w:rPr>
        <w:t>Agreement</w:t>
      </w:r>
    </w:p>
    <w:p w14:paraId="61F78D29" w14:textId="77777777" w:rsidR="00E02BF1" w:rsidRPr="00430ACB" w:rsidRDefault="00E02BF1" w:rsidP="00E02BF1">
      <w:pPr>
        <w:spacing w:after="0"/>
        <w:jc w:val="both"/>
        <w:rPr>
          <w:bCs/>
          <w:lang w:val="en-US"/>
        </w:rPr>
      </w:pPr>
      <w:r w:rsidRPr="00430ACB">
        <w:rPr>
          <w:bCs/>
          <w:lang w:val="en-US"/>
        </w:rPr>
        <w:t xml:space="preserve">For UE BB complexity reduction, a UE </w:t>
      </w:r>
      <w:proofErr w:type="gramStart"/>
      <w:r w:rsidRPr="00430ACB">
        <w:rPr>
          <w:bCs/>
          <w:lang w:val="en-US"/>
        </w:rPr>
        <w:t>is able to</w:t>
      </w:r>
      <w:proofErr w:type="gramEnd"/>
      <w:r w:rsidRPr="00430ACB">
        <w:rPr>
          <w:bCs/>
          <w:lang w:val="en-US"/>
        </w:rPr>
        <w:t xml:space="preserve"> receive a DL assignment in a DCI with a unicast PDSCH resource</w:t>
      </w:r>
      <w:r>
        <w:rPr>
          <w:bCs/>
          <w:lang w:val="en-US"/>
        </w:rPr>
        <w:t xml:space="preserve"> </w:t>
      </w:r>
      <w:r w:rsidRPr="00430ACB">
        <w:rPr>
          <w:bCs/>
          <w:lang w:val="en-US"/>
        </w:rPr>
        <w:t>allocation spanning a bandwidth of more than ~5 MHz per slot.</w:t>
      </w:r>
    </w:p>
    <w:p w14:paraId="70EF4452" w14:textId="77777777" w:rsidR="00E02BF1" w:rsidRPr="00430ACB" w:rsidRDefault="00E02BF1" w:rsidP="00E02BF1">
      <w:pPr>
        <w:spacing w:after="0"/>
        <w:jc w:val="both"/>
        <w:rPr>
          <w:bCs/>
          <w:lang w:val="en-US"/>
        </w:rPr>
      </w:pPr>
      <w:r w:rsidRPr="00430ACB">
        <w:rPr>
          <w:bCs/>
          <w:lang w:val="en-US"/>
        </w:rPr>
        <w:t>T</w:t>
      </w:r>
      <w:r w:rsidRPr="00430ACB">
        <w:rPr>
          <w:rFonts w:eastAsia="DengXian"/>
          <w:bCs/>
          <w:lang w:val="en-US" w:eastAsia="zh-CN"/>
        </w:rPr>
        <w:t>he number of PRB scheduled in DCI is not larger than the maximum number of PRB agreed in previous agreement from 110b-e</w:t>
      </w:r>
      <w:r>
        <w:rPr>
          <w:rFonts w:eastAsia="DengXian"/>
          <w:bCs/>
          <w:lang w:val="en-US" w:eastAsia="zh-CN"/>
        </w:rPr>
        <w:t>.</w:t>
      </w:r>
    </w:p>
    <w:p w14:paraId="261CE33E" w14:textId="77777777" w:rsidR="00E02BF1" w:rsidRPr="007338EA" w:rsidRDefault="00E02BF1" w:rsidP="00E02BF1">
      <w:pPr>
        <w:spacing w:after="0"/>
        <w:jc w:val="both"/>
        <w:rPr>
          <w:rFonts w:eastAsia="DengXian"/>
          <w:b/>
          <w:bCs/>
          <w:lang w:val="en-US" w:eastAsia="zh-CN"/>
        </w:rPr>
      </w:pPr>
    </w:p>
    <w:p w14:paraId="3D469944" w14:textId="77777777" w:rsidR="00E02BF1" w:rsidRPr="000956B0" w:rsidRDefault="00E02BF1" w:rsidP="00E02BF1">
      <w:pPr>
        <w:spacing w:after="0"/>
        <w:jc w:val="both"/>
        <w:rPr>
          <w:b/>
          <w:highlight w:val="green"/>
          <w:lang w:val="en-US"/>
        </w:rPr>
      </w:pPr>
      <w:r w:rsidRPr="000956B0">
        <w:rPr>
          <w:b/>
          <w:highlight w:val="green"/>
          <w:lang w:val="en-US"/>
        </w:rPr>
        <w:t>Agreement</w:t>
      </w:r>
    </w:p>
    <w:p w14:paraId="58729414" w14:textId="77777777" w:rsidR="00E02BF1" w:rsidRPr="00430ACB" w:rsidRDefault="00E02BF1" w:rsidP="00E02BF1">
      <w:pPr>
        <w:spacing w:after="0"/>
        <w:jc w:val="both"/>
        <w:rPr>
          <w:bCs/>
          <w:lang w:val="en-US"/>
        </w:rPr>
      </w:pPr>
      <w:r w:rsidRPr="00430ACB">
        <w:rPr>
          <w:bCs/>
          <w:lang w:val="en-US"/>
        </w:rPr>
        <w:t>For UE BB bandwidth reduction, for PUSCH, down-select between the following options for the maximum number of PRBs that the UE can transmit per slot or per hop, if applicable:</w:t>
      </w:r>
    </w:p>
    <w:p w14:paraId="3EA79CF5" w14:textId="77777777" w:rsidR="00E02BF1" w:rsidRPr="00430ACB" w:rsidRDefault="00E02BF1" w:rsidP="00E02BF1">
      <w:pPr>
        <w:numPr>
          <w:ilvl w:val="0"/>
          <w:numId w:val="9"/>
        </w:numPr>
        <w:tabs>
          <w:tab w:val="left" w:pos="720"/>
        </w:tabs>
        <w:spacing w:after="0"/>
        <w:jc w:val="both"/>
        <w:rPr>
          <w:bCs/>
          <w:lang w:val="en-US"/>
        </w:rPr>
      </w:pPr>
      <w:r w:rsidRPr="00430ACB">
        <w:rPr>
          <w:bCs/>
          <w:lang w:val="en-US"/>
        </w:rPr>
        <w:t>Option 3: 25 PRBs for 15 kHz SCS and 12 PRBs for 30 kHz SCS</w:t>
      </w:r>
    </w:p>
    <w:p w14:paraId="3F3D26BD" w14:textId="77777777" w:rsidR="00E02BF1" w:rsidRPr="00430ACB" w:rsidRDefault="00E02BF1" w:rsidP="00E02BF1">
      <w:pPr>
        <w:numPr>
          <w:ilvl w:val="0"/>
          <w:numId w:val="9"/>
        </w:numPr>
        <w:tabs>
          <w:tab w:val="left" w:pos="720"/>
        </w:tabs>
        <w:spacing w:after="0"/>
        <w:jc w:val="both"/>
        <w:rPr>
          <w:bCs/>
          <w:lang w:val="en-US"/>
        </w:rPr>
      </w:pPr>
      <w:r w:rsidRPr="00430ACB">
        <w:rPr>
          <w:bCs/>
          <w:lang w:val="en-US"/>
        </w:rPr>
        <w:t>Option 4: 25 PRBs for 15 kHz SCS and 11 PRBs for 30 kHz SCS</w:t>
      </w:r>
    </w:p>
    <w:p w14:paraId="2804024B" w14:textId="77777777" w:rsidR="00E02BF1" w:rsidRPr="00430ACB" w:rsidRDefault="00E02BF1" w:rsidP="00E02BF1">
      <w:pPr>
        <w:spacing w:after="0"/>
        <w:jc w:val="both"/>
        <w:rPr>
          <w:bCs/>
          <w:lang w:val="en-US"/>
        </w:rPr>
      </w:pPr>
      <w:r w:rsidRPr="00430ACB">
        <w:rPr>
          <w:bCs/>
          <w:lang w:val="en-US"/>
        </w:rPr>
        <w:t>For UE BB bandwidth reduction, for PDSCH (for both unicast and broadcast), down-select between the following options for the maximum number of PRBs that the UE can process per slot:</w:t>
      </w:r>
    </w:p>
    <w:p w14:paraId="3CD8C4B9" w14:textId="77777777" w:rsidR="00E02BF1" w:rsidRPr="00430ACB" w:rsidRDefault="00E02BF1" w:rsidP="00E02BF1">
      <w:pPr>
        <w:numPr>
          <w:ilvl w:val="0"/>
          <w:numId w:val="10"/>
        </w:numPr>
        <w:tabs>
          <w:tab w:val="left" w:pos="720"/>
        </w:tabs>
        <w:spacing w:after="0"/>
        <w:jc w:val="both"/>
        <w:rPr>
          <w:bCs/>
          <w:lang w:val="en-US"/>
        </w:rPr>
      </w:pPr>
      <w:r w:rsidRPr="00430ACB">
        <w:rPr>
          <w:bCs/>
          <w:lang w:val="en-US"/>
        </w:rPr>
        <w:t>Option 3: 25 PRBs for 15 kHz SCS and 12 PRBs for 30 kHz SCS</w:t>
      </w:r>
    </w:p>
    <w:p w14:paraId="62FFC000" w14:textId="77777777" w:rsidR="00E02BF1" w:rsidRPr="00430ACB" w:rsidRDefault="00E02BF1" w:rsidP="00E02BF1">
      <w:pPr>
        <w:numPr>
          <w:ilvl w:val="0"/>
          <w:numId w:val="10"/>
        </w:numPr>
        <w:tabs>
          <w:tab w:val="left" w:pos="720"/>
        </w:tabs>
        <w:spacing w:after="0"/>
        <w:jc w:val="both"/>
        <w:rPr>
          <w:bCs/>
          <w:lang w:val="en-US"/>
        </w:rPr>
      </w:pPr>
      <w:r w:rsidRPr="00430ACB">
        <w:rPr>
          <w:bCs/>
          <w:lang w:val="en-US"/>
        </w:rPr>
        <w:t>Option 4: 25 PRBs for 15 kHz SCS and 11 PRBs for 30 kHz SCS</w:t>
      </w:r>
    </w:p>
    <w:p w14:paraId="0875B531" w14:textId="77777777" w:rsidR="00E02BF1" w:rsidRPr="00430ACB" w:rsidRDefault="00E02BF1" w:rsidP="00E02BF1">
      <w:pPr>
        <w:spacing w:after="0"/>
        <w:jc w:val="both"/>
        <w:rPr>
          <w:bCs/>
          <w:lang w:val="en-US"/>
        </w:rPr>
      </w:pPr>
      <w:r w:rsidRPr="00430ACB">
        <w:rPr>
          <w:bCs/>
          <w:lang w:val="en-US"/>
        </w:rPr>
        <w:t>Same option will be selected for both PDSCH and PUSCH.</w:t>
      </w:r>
    </w:p>
    <w:p w14:paraId="14BFABB7" w14:textId="71E15387" w:rsidR="00E02BF1" w:rsidRDefault="00E02BF1" w:rsidP="009339CB">
      <w:pPr>
        <w:rPr>
          <w:lang w:val="en-US"/>
        </w:rPr>
      </w:pPr>
    </w:p>
    <w:p w14:paraId="6C4E6517" w14:textId="61AF885A" w:rsidR="00E02BF1" w:rsidRPr="00E02BF1" w:rsidRDefault="00E02BF1" w:rsidP="009339CB">
      <w:pPr>
        <w:rPr>
          <w:lang w:val="en-US"/>
        </w:rPr>
      </w:pPr>
      <w:r>
        <w:rPr>
          <w:lang w:val="en-US"/>
        </w:rPr>
        <w:lastRenderedPageBreak/>
        <w:t>This TDoc discusses the need for an early indication specified separate from the indication specified for Rel-17 RedCap devices.</w:t>
      </w:r>
    </w:p>
    <w:p w14:paraId="7D484B6E" w14:textId="5B2AC4DD" w:rsidR="009339CB" w:rsidRPr="006E13D1" w:rsidRDefault="009339CB" w:rsidP="009339CB">
      <w:pPr>
        <w:pStyle w:val="Heading1"/>
      </w:pPr>
      <w:r w:rsidRPr="006E13D1">
        <w:t>2</w:t>
      </w:r>
      <w:r w:rsidRPr="006E13D1">
        <w:tab/>
      </w:r>
      <w:r w:rsidR="00E02BF1">
        <w:t>Discussion</w:t>
      </w:r>
    </w:p>
    <w:p w14:paraId="6CEA6EA8" w14:textId="4469974F" w:rsidR="00E02BF1" w:rsidRDefault="00E02BF1" w:rsidP="009339CB">
      <w:r>
        <w:t xml:space="preserve">As can be seen from the RAN1 agreements, the R18 RedCap device could access the same RACH as the R17 RedCap device (or even non-RedCap devices), being also able to decode the RAR spanning over more PRBs </w:t>
      </w:r>
      <w:r w:rsidRPr="00E02BF1">
        <w:t>larger than the maximum number of unicast PRBs that the UE can process per slot</w:t>
      </w:r>
      <w:r>
        <w:t>. This means that the NW could account the time and PRBs constraint of the R18 RedCap UEs for every Msg3 UL grant it schedules with RAR given the small payload carried with Msg3 (e.g., 56 or 72 bits). However, such constraint</w:t>
      </w:r>
      <w:r w:rsidR="00731857">
        <w:t>s seem too restrictive in terms of scheduling the Msg4 RRC message (e.g., RRCSetup/Resume) or Msg5 for all the UEs. Furthermore, NW may want to employ different access control upon congestion even between R17 and R18 RedCap UEs since the R18 UE is less capable. Hence, a separate early indication of R18 RedCap devices is needed the latest in Msg3 (or MsgA PUSCH) of the RA procedure.</w:t>
      </w:r>
    </w:p>
    <w:p w14:paraId="17470D20" w14:textId="78F59EF7" w:rsidR="00731857" w:rsidRPr="00731857" w:rsidRDefault="00731857" w:rsidP="009339CB">
      <w:pPr>
        <w:rPr>
          <w:b/>
          <w:bCs/>
          <w:lang w:val="en-US"/>
        </w:rPr>
      </w:pPr>
      <w:r>
        <w:rPr>
          <w:b/>
          <w:bCs/>
        </w:rPr>
        <w:t xml:space="preserve">Proposal 1: Support separate early indication of R18 RedCap device from the R17 RedCap device. </w:t>
      </w:r>
    </w:p>
    <w:p w14:paraId="118B85E7" w14:textId="2E48670B" w:rsidR="000118E1" w:rsidRDefault="00731857" w:rsidP="009339CB">
      <w:pPr>
        <w:rPr>
          <w:lang w:val="en-US"/>
        </w:rPr>
      </w:pPr>
      <w:r>
        <w:rPr>
          <w:lang w:val="en-US"/>
        </w:rPr>
        <w:t xml:space="preserve">If the network would not intend to apply the time/PRB constraint of the R18 RedCap UEs also for R17 RedCap UEs, separate RACH partition could </w:t>
      </w:r>
      <w:proofErr w:type="gramStart"/>
      <w:r>
        <w:rPr>
          <w:lang w:val="en-US"/>
        </w:rPr>
        <w:t>be considered to be</w:t>
      </w:r>
      <w:proofErr w:type="gramEnd"/>
      <w:r>
        <w:rPr>
          <w:lang w:val="en-US"/>
        </w:rPr>
        <w:t xml:space="preserve"> configured from the R17 RACH partition.</w:t>
      </w:r>
    </w:p>
    <w:p w14:paraId="2AA5D183" w14:textId="32A6FFF3" w:rsidR="000118E1" w:rsidRPr="000118E1" w:rsidRDefault="000118E1" w:rsidP="009339CB">
      <w:pPr>
        <w:rPr>
          <w:b/>
          <w:bCs/>
          <w:lang w:val="en-US"/>
        </w:rPr>
      </w:pPr>
      <w:r>
        <w:rPr>
          <w:b/>
          <w:bCs/>
          <w:lang w:val="en-US"/>
        </w:rPr>
        <w:t xml:space="preserve">Proposal 2: Support both Msg1/MsgA preamble (separate RACH partition) and Msg3/MsgA PUSCH based early indications </w:t>
      </w:r>
      <w:proofErr w:type="gramStart"/>
      <w:r>
        <w:rPr>
          <w:b/>
          <w:bCs/>
          <w:lang w:val="en-US"/>
        </w:rPr>
        <w:t>similar to</w:t>
      </w:r>
      <w:proofErr w:type="gramEnd"/>
      <w:r>
        <w:rPr>
          <w:b/>
          <w:bCs/>
          <w:lang w:val="en-US"/>
        </w:rPr>
        <w:t xml:space="preserve"> R17 RedCap devices.</w:t>
      </w:r>
    </w:p>
    <w:p w14:paraId="4EF7CAB9" w14:textId="1521FB53" w:rsidR="00E02BF1" w:rsidRDefault="000118E1" w:rsidP="009339CB">
      <w:r>
        <w:t>R17 early indication in Msg3/MsgA PUSCH is conveyed as part of LCID values reserved for indicating CCCH as follows (TS 38.321):</w:t>
      </w:r>
    </w:p>
    <w:tbl>
      <w:tblPr>
        <w:tblStyle w:val="TableGrid"/>
        <w:tblW w:w="0" w:type="auto"/>
        <w:tblLook w:val="04A0" w:firstRow="1" w:lastRow="0" w:firstColumn="1" w:lastColumn="0" w:noHBand="0" w:noVBand="1"/>
      </w:tblPr>
      <w:tblGrid>
        <w:gridCol w:w="9631"/>
      </w:tblGrid>
      <w:tr w:rsidR="000118E1" w14:paraId="20E0A296" w14:textId="77777777" w:rsidTr="000118E1">
        <w:tc>
          <w:tcPr>
            <w:tcW w:w="9631" w:type="dxa"/>
          </w:tcPr>
          <w:p w14:paraId="6D77E26A" w14:textId="77777777" w:rsidR="000118E1" w:rsidRPr="000118E1" w:rsidRDefault="000118E1" w:rsidP="000118E1">
            <w:pPr>
              <w:keepNext/>
              <w:overflowPunct w:val="0"/>
              <w:autoSpaceDE w:val="0"/>
              <w:autoSpaceDN w:val="0"/>
              <w:adjustRightInd w:val="0"/>
              <w:spacing w:before="120"/>
              <w:ind w:left="1134" w:hanging="1134"/>
              <w:textAlignment w:val="baseline"/>
              <w:outlineLvl w:val="2"/>
              <w:rPr>
                <w:rFonts w:ascii="Arial" w:hAnsi="Arial"/>
                <w:sz w:val="28"/>
                <w:lang w:eastAsia="ko-KR"/>
              </w:rPr>
            </w:pPr>
            <w:bookmarkStart w:id="0" w:name="_Toc29239902"/>
            <w:bookmarkStart w:id="1" w:name="_Toc37296319"/>
            <w:bookmarkStart w:id="2" w:name="_Toc46490450"/>
            <w:bookmarkStart w:id="3" w:name="_Toc52752145"/>
            <w:bookmarkStart w:id="4" w:name="_Toc52796607"/>
            <w:bookmarkStart w:id="5" w:name="_Toc115558083"/>
            <w:r w:rsidRPr="000118E1">
              <w:rPr>
                <w:rFonts w:ascii="Arial" w:hAnsi="Arial"/>
                <w:sz w:val="28"/>
                <w:lang w:eastAsia="ko-KR"/>
              </w:rPr>
              <w:t>6.2.1</w:t>
            </w:r>
            <w:r w:rsidRPr="000118E1">
              <w:rPr>
                <w:rFonts w:ascii="Arial" w:hAnsi="Arial"/>
                <w:sz w:val="28"/>
                <w:lang w:eastAsia="ko-KR"/>
              </w:rPr>
              <w:tab/>
              <w:t>MAC subheader for DL-SCH and UL-SCH</w:t>
            </w:r>
            <w:bookmarkEnd w:id="0"/>
            <w:bookmarkEnd w:id="1"/>
            <w:bookmarkEnd w:id="2"/>
            <w:bookmarkEnd w:id="3"/>
            <w:bookmarkEnd w:id="4"/>
            <w:bookmarkEnd w:id="5"/>
          </w:p>
          <w:p w14:paraId="2B35E915" w14:textId="77777777" w:rsidR="000118E1" w:rsidRPr="000118E1" w:rsidRDefault="000118E1" w:rsidP="000118E1">
            <w:pPr>
              <w:keepNext/>
              <w:overflowPunct w:val="0"/>
              <w:autoSpaceDE w:val="0"/>
              <w:autoSpaceDN w:val="0"/>
              <w:adjustRightInd w:val="0"/>
              <w:spacing w:before="60"/>
              <w:jc w:val="center"/>
              <w:textAlignment w:val="baseline"/>
              <w:rPr>
                <w:rFonts w:ascii="Arial" w:hAnsi="Arial"/>
                <w:b/>
                <w:lang w:eastAsia="ko-KR"/>
              </w:rPr>
            </w:pPr>
            <w:r w:rsidRPr="000118E1">
              <w:rPr>
                <w:rFonts w:ascii="Arial" w:hAnsi="Arial"/>
                <w:b/>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0118E1" w:rsidRPr="000118E1" w14:paraId="3BD7AFEC" w14:textId="77777777" w:rsidTr="009C13A7">
              <w:trPr>
                <w:jc w:val="center"/>
              </w:trPr>
              <w:tc>
                <w:tcPr>
                  <w:tcW w:w="1701" w:type="dxa"/>
                  <w:gridSpan w:val="2"/>
                </w:tcPr>
                <w:p w14:paraId="4E3B85BF"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b/>
                      <w:noProof/>
                      <w:sz w:val="18"/>
                      <w:lang w:eastAsia="ko-KR"/>
                    </w:rPr>
                  </w:pPr>
                  <w:r w:rsidRPr="000118E1">
                    <w:rPr>
                      <w:rFonts w:ascii="Arial" w:hAnsi="Arial"/>
                      <w:b/>
                      <w:noProof/>
                      <w:sz w:val="18"/>
                      <w:lang w:eastAsia="ko-KR"/>
                    </w:rPr>
                    <w:t>Codepoint/Index</w:t>
                  </w:r>
                </w:p>
              </w:tc>
              <w:tc>
                <w:tcPr>
                  <w:tcW w:w="7501" w:type="dxa"/>
                </w:tcPr>
                <w:p w14:paraId="5C86D64A"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b/>
                      <w:noProof/>
                      <w:sz w:val="18"/>
                      <w:lang w:eastAsia="ko-KR"/>
                    </w:rPr>
                  </w:pPr>
                  <w:r w:rsidRPr="000118E1">
                    <w:rPr>
                      <w:rFonts w:ascii="Arial" w:hAnsi="Arial"/>
                      <w:b/>
                      <w:noProof/>
                      <w:sz w:val="18"/>
                      <w:lang w:eastAsia="ko-KR"/>
                    </w:rPr>
                    <w:t>LCID values</w:t>
                  </w:r>
                </w:p>
              </w:tc>
            </w:tr>
            <w:tr w:rsidR="000118E1" w:rsidRPr="000118E1" w14:paraId="65243075" w14:textId="77777777" w:rsidTr="009C13A7">
              <w:trPr>
                <w:jc w:val="center"/>
              </w:trPr>
              <w:tc>
                <w:tcPr>
                  <w:tcW w:w="1701" w:type="dxa"/>
                  <w:gridSpan w:val="2"/>
                </w:tcPr>
                <w:p w14:paraId="5C84BECF"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0</w:t>
                  </w:r>
                </w:p>
              </w:tc>
              <w:tc>
                <w:tcPr>
                  <w:tcW w:w="7501" w:type="dxa"/>
                </w:tcPr>
                <w:p w14:paraId="6B98EF60"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CCCH of size 64 bits (referred to as "CCCH1" in TS 38.331 [5]), except for a RedCap UE</w:t>
                  </w:r>
                </w:p>
              </w:tc>
            </w:tr>
            <w:tr w:rsidR="000118E1" w:rsidRPr="000118E1" w14:paraId="25426AC9" w14:textId="77777777" w:rsidTr="009C13A7">
              <w:trPr>
                <w:jc w:val="center"/>
              </w:trPr>
              <w:tc>
                <w:tcPr>
                  <w:tcW w:w="1701" w:type="dxa"/>
                  <w:gridSpan w:val="2"/>
                </w:tcPr>
                <w:p w14:paraId="3863D8A3"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1–32</w:t>
                  </w:r>
                </w:p>
              </w:tc>
              <w:tc>
                <w:tcPr>
                  <w:tcW w:w="7501" w:type="dxa"/>
                </w:tcPr>
                <w:p w14:paraId="697AC0C6"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Identity of the logical channel of DCCH and DTCH</w:t>
                  </w:r>
                </w:p>
              </w:tc>
            </w:tr>
            <w:tr w:rsidR="000118E1" w:rsidRPr="000118E1" w14:paraId="719C449D" w14:textId="77777777" w:rsidTr="009C13A7">
              <w:trPr>
                <w:jc w:val="center"/>
              </w:trPr>
              <w:tc>
                <w:tcPr>
                  <w:tcW w:w="1701" w:type="dxa"/>
                  <w:gridSpan w:val="2"/>
                </w:tcPr>
                <w:p w14:paraId="0007685B"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33</w:t>
                  </w:r>
                </w:p>
              </w:tc>
              <w:tc>
                <w:tcPr>
                  <w:tcW w:w="7501" w:type="dxa"/>
                </w:tcPr>
                <w:p w14:paraId="373B1B8A"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Extended logical channel ID field (two-octet eLCID field)</w:t>
                  </w:r>
                </w:p>
              </w:tc>
            </w:tr>
            <w:tr w:rsidR="000118E1" w:rsidRPr="000118E1" w14:paraId="4B71DCC2" w14:textId="77777777" w:rsidTr="009C13A7">
              <w:trPr>
                <w:jc w:val="center"/>
              </w:trPr>
              <w:tc>
                <w:tcPr>
                  <w:tcW w:w="1701" w:type="dxa"/>
                  <w:gridSpan w:val="2"/>
                </w:tcPr>
                <w:p w14:paraId="13012D74"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34</w:t>
                  </w:r>
                </w:p>
              </w:tc>
              <w:tc>
                <w:tcPr>
                  <w:tcW w:w="7501" w:type="dxa"/>
                </w:tcPr>
                <w:p w14:paraId="2F397CB4"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Extended logical channel ID field (one-octet eLCID field)</w:t>
                  </w:r>
                </w:p>
              </w:tc>
            </w:tr>
            <w:tr w:rsidR="000118E1" w:rsidRPr="000118E1" w14:paraId="1A975910" w14:textId="77777777" w:rsidTr="009C13A7">
              <w:trPr>
                <w:jc w:val="center"/>
              </w:trPr>
              <w:tc>
                <w:tcPr>
                  <w:tcW w:w="1685" w:type="dxa"/>
                </w:tcPr>
                <w:p w14:paraId="6A2ED05F"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zh-CN"/>
                    </w:rPr>
                  </w:pPr>
                  <w:r w:rsidRPr="000118E1">
                    <w:rPr>
                      <w:rFonts w:ascii="Arial" w:hAnsi="Arial"/>
                      <w:noProof/>
                      <w:sz w:val="18"/>
                      <w:lang w:eastAsia="zh-CN"/>
                    </w:rPr>
                    <w:t>35</w:t>
                  </w:r>
                </w:p>
              </w:tc>
              <w:tc>
                <w:tcPr>
                  <w:tcW w:w="7517" w:type="dxa"/>
                  <w:gridSpan w:val="2"/>
                </w:tcPr>
                <w:p w14:paraId="20FCBACF"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highlight w:val="yellow"/>
                      <w:lang w:eastAsia="zh-CN"/>
                    </w:rPr>
                  </w:pPr>
                  <w:r w:rsidRPr="000118E1">
                    <w:rPr>
                      <w:rFonts w:ascii="Arial" w:hAnsi="Arial"/>
                      <w:noProof/>
                      <w:sz w:val="18"/>
                      <w:highlight w:val="yellow"/>
                      <w:lang w:eastAsia="zh-CN"/>
                    </w:rPr>
                    <w:t>CCCH of size 48 bits</w:t>
                  </w:r>
                  <w:r w:rsidRPr="000118E1">
                    <w:rPr>
                      <w:rFonts w:ascii="Arial" w:hAnsi="Arial"/>
                      <w:sz w:val="18"/>
                      <w:highlight w:val="yellow"/>
                      <w:lang w:eastAsia="ja-JP"/>
                    </w:rPr>
                    <w:t xml:space="preserve"> </w:t>
                  </w:r>
                  <w:r w:rsidRPr="000118E1">
                    <w:rPr>
                      <w:rFonts w:ascii="Arial" w:hAnsi="Arial"/>
                      <w:noProof/>
                      <w:sz w:val="18"/>
                      <w:highlight w:val="yellow"/>
                      <w:lang w:eastAsia="zh-CN"/>
                    </w:rPr>
                    <w:t xml:space="preserve">(referred to as "CCCH" in TS 38.331 [5]) for a RedCap UE </w:t>
                  </w:r>
                </w:p>
              </w:tc>
            </w:tr>
            <w:tr w:rsidR="000118E1" w:rsidRPr="000118E1" w14:paraId="2F4BFFE9" w14:textId="77777777" w:rsidTr="009C13A7">
              <w:trPr>
                <w:jc w:val="center"/>
              </w:trPr>
              <w:tc>
                <w:tcPr>
                  <w:tcW w:w="1685" w:type="dxa"/>
                </w:tcPr>
                <w:p w14:paraId="3B4087B1"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zh-CN"/>
                    </w:rPr>
                  </w:pPr>
                  <w:r w:rsidRPr="000118E1">
                    <w:rPr>
                      <w:rFonts w:ascii="Arial" w:hAnsi="Arial"/>
                      <w:noProof/>
                      <w:sz w:val="18"/>
                      <w:lang w:eastAsia="zh-CN"/>
                    </w:rPr>
                    <w:t>36</w:t>
                  </w:r>
                </w:p>
              </w:tc>
              <w:tc>
                <w:tcPr>
                  <w:tcW w:w="7517" w:type="dxa"/>
                  <w:gridSpan w:val="2"/>
                </w:tcPr>
                <w:p w14:paraId="35A252B7"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highlight w:val="yellow"/>
                      <w:lang w:eastAsia="zh-CN"/>
                    </w:rPr>
                  </w:pPr>
                  <w:r w:rsidRPr="000118E1">
                    <w:rPr>
                      <w:rFonts w:ascii="Arial" w:hAnsi="Arial"/>
                      <w:noProof/>
                      <w:sz w:val="18"/>
                      <w:highlight w:val="yellow"/>
                      <w:lang w:eastAsia="zh-CN"/>
                    </w:rPr>
                    <w:t>CCCH of size 64 bits (referred to as "CCCH1" in TS 38.331 [5]) for a RedCap UE</w:t>
                  </w:r>
                </w:p>
              </w:tc>
            </w:tr>
            <w:tr w:rsidR="000118E1" w:rsidRPr="000118E1" w14:paraId="28B700CC" w14:textId="77777777" w:rsidTr="009C13A7">
              <w:trPr>
                <w:jc w:val="center"/>
              </w:trPr>
              <w:tc>
                <w:tcPr>
                  <w:tcW w:w="1701" w:type="dxa"/>
                  <w:gridSpan w:val="2"/>
                </w:tcPr>
                <w:p w14:paraId="11A567C9"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37–42</w:t>
                  </w:r>
                </w:p>
              </w:tc>
              <w:tc>
                <w:tcPr>
                  <w:tcW w:w="7501" w:type="dxa"/>
                </w:tcPr>
                <w:p w14:paraId="118B5134"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highlight w:val="yellow"/>
                      <w:lang w:eastAsia="ko-KR"/>
                    </w:rPr>
                    <w:t>Reserved</w:t>
                  </w:r>
                </w:p>
              </w:tc>
            </w:tr>
            <w:tr w:rsidR="000118E1" w:rsidRPr="000118E1" w14:paraId="1F5CDE6E" w14:textId="77777777" w:rsidTr="009C13A7">
              <w:trPr>
                <w:jc w:val="center"/>
              </w:trPr>
              <w:tc>
                <w:tcPr>
                  <w:tcW w:w="1701" w:type="dxa"/>
                  <w:gridSpan w:val="2"/>
                </w:tcPr>
                <w:p w14:paraId="0FA661D6"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sz w:val="18"/>
                      <w:lang w:eastAsia="ko-KR"/>
                    </w:rPr>
                    <w:t>43</w:t>
                  </w:r>
                </w:p>
              </w:tc>
              <w:tc>
                <w:tcPr>
                  <w:tcW w:w="7501" w:type="dxa"/>
                </w:tcPr>
                <w:p w14:paraId="7D040C68"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sz w:val="18"/>
                      <w:lang w:eastAsia="ko-KR"/>
                    </w:rPr>
                    <w:t xml:space="preserve">Truncated Enhanced BFR </w:t>
                  </w:r>
                  <w:r w:rsidRPr="000118E1">
                    <w:rPr>
                      <w:rFonts w:ascii="Arial" w:eastAsia="Malgun Gothic" w:hAnsi="Arial"/>
                      <w:sz w:val="18"/>
                      <w:lang w:eastAsia="ko-KR"/>
                    </w:rPr>
                    <w:t>(one octet C</w:t>
                  </w:r>
                  <w:r w:rsidRPr="000118E1">
                    <w:rPr>
                      <w:rFonts w:ascii="Arial" w:eastAsia="Malgun Gothic" w:hAnsi="Arial"/>
                      <w:sz w:val="18"/>
                      <w:vertAlign w:val="subscript"/>
                      <w:lang w:eastAsia="ko-KR"/>
                    </w:rPr>
                    <w:t>i</w:t>
                  </w:r>
                  <w:r w:rsidRPr="000118E1">
                    <w:rPr>
                      <w:rFonts w:ascii="Arial" w:eastAsia="Malgun Gothic" w:hAnsi="Arial"/>
                      <w:sz w:val="18"/>
                      <w:lang w:eastAsia="ko-KR"/>
                    </w:rPr>
                    <w:t>)</w:t>
                  </w:r>
                </w:p>
              </w:tc>
            </w:tr>
            <w:tr w:rsidR="000118E1" w:rsidRPr="000118E1" w14:paraId="527DE461" w14:textId="77777777" w:rsidTr="009C13A7">
              <w:trPr>
                <w:jc w:val="center"/>
              </w:trPr>
              <w:tc>
                <w:tcPr>
                  <w:tcW w:w="1701" w:type="dxa"/>
                  <w:gridSpan w:val="2"/>
                </w:tcPr>
                <w:p w14:paraId="48CDE41F"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44</w:t>
                  </w:r>
                </w:p>
              </w:tc>
              <w:tc>
                <w:tcPr>
                  <w:tcW w:w="7501" w:type="dxa"/>
                </w:tcPr>
                <w:p w14:paraId="1DB56204"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Timing Advance Report</w:t>
                  </w:r>
                </w:p>
              </w:tc>
            </w:tr>
            <w:tr w:rsidR="000118E1" w:rsidRPr="000118E1" w14:paraId="5D14075A" w14:textId="77777777" w:rsidTr="009C13A7">
              <w:trPr>
                <w:jc w:val="center"/>
              </w:trPr>
              <w:tc>
                <w:tcPr>
                  <w:tcW w:w="1701" w:type="dxa"/>
                  <w:gridSpan w:val="2"/>
                </w:tcPr>
                <w:p w14:paraId="42AF4E88"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45</w:t>
                  </w:r>
                </w:p>
              </w:tc>
              <w:tc>
                <w:tcPr>
                  <w:tcW w:w="7501" w:type="dxa"/>
                </w:tcPr>
                <w:p w14:paraId="5A648375"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ja-JP"/>
                    </w:rPr>
                    <w:t xml:space="preserve">Truncated </w:t>
                  </w:r>
                  <w:r w:rsidRPr="000118E1">
                    <w:rPr>
                      <w:rFonts w:ascii="Arial" w:hAnsi="Arial"/>
                      <w:noProof/>
                      <w:sz w:val="18"/>
                      <w:lang w:eastAsia="ko-KR"/>
                    </w:rPr>
                    <w:t>Sidelink BSR</w:t>
                  </w:r>
                </w:p>
              </w:tc>
            </w:tr>
            <w:tr w:rsidR="000118E1" w:rsidRPr="000118E1" w14:paraId="4EA4703C" w14:textId="77777777" w:rsidTr="009C13A7">
              <w:trPr>
                <w:jc w:val="center"/>
              </w:trPr>
              <w:tc>
                <w:tcPr>
                  <w:tcW w:w="1701" w:type="dxa"/>
                  <w:gridSpan w:val="2"/>
                </w:tcPr>
                <w:p w14:paraId="646AFE74"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46</w:t>
                  </w:r>
                </w:p>
              </w:tc>
              <w:tc>
                <w:tcPr>
                  <w:tcW w:w="7501" w:type="dxa"/>
                </w:tcPr>
                <w:p w14:paraId="77B0A485"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Sidelink BSR</w:t>
                  </w:r>
                </w:p>
              </w:tc>
            </w:tr>
            <w:tr w:rsidR="000118E1" w:rsidRPr="000118E1" w14:paraId="7E84A89C" w14:textId="77777777" w:rsidTr="009C13A7">
              <w:trPr>
                <w:jc w:val="center"/>
              </w:trPr>
              <w:tc>
                <w:tcPr>
                  <w:tcW w:w="1701" w:type="dxa"/>
                  <w:gridSpan w:val="2"/>
                </w:tcPr>
                <w:p w14:paraId="1572999F"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47</w:t>
                  </w:r>
                </w:p>
              </w:tc>
              <w:tc>
                <w:tcPr>
                  <w:tcW w:w="7501" w:type="dxa"/>
                </w:tcPr>
                <w:p w14:paraId="687C2AD9"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eastAsia="Malgun Gothic" w:hAnsi="Arial"/>
                      <w:noProof/>
                      <w:sz w:val="18"/>
                      <w:lang w:eastAsia="ko-KR"/>
                    </w:rPr>
                    <w:t>Reserved</w:t>
                  </w:r>
                </w:p>
              </w:tc>
            </w:tr>
            <w:tr w:rsidR="000118E1" w:rsidRPr="000118E1" w14:paraId="47A7F474" w14:textId="77777777" w:rsidTr="009C13A7">
              <w:trPr>
                <w:jc w:val="center"/>
              </w:trPr>
              <w:tc>
                <w:tcPr>
                  <w:tcW w:w="1701" w:type="dxa"/>
                  <w:gridSpan w:val="2"/>
                </w:tcPr>
                <w:p w14:paraId="42456A73"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48</w:t>
                  </w:r>
                </w:p>
              </w:tc>
              <w:tc>
                <w:tcPr>
                  <w:tcW w:w="7501" w:type="dxa"/>
                </w:tcPr>
                <w:p w14:paraId="7C118854"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LBT failure (four octets)</w:t>
                  </w:r>
                </w:p>
              </w:tc>
            </w:tr>
            <w:tr w:rsidR="000118E1" w:rsidRPr="000118E1" w14:paraId="25D2DD33" w14:textId="77777777" w:rsidTr="009C13A7">
              <w:trPr>
                <w:jc w:val="center"/>
              </w:trPr>
              <w:tc>
                <w:tcPr>
                  <w:tcW w:w="1701" w:type="dxa"/>
                  <w:gridSpan w:val="2"/>
                </w:tcPr>
                <w:p w14:paraId="1159DC63"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49</w:t>
                  </w:r>
                </w:p>
              </w:tc>
              <w:tc>
                <w:tcPr>
                  <w:tcW w:w="7501" w:type="dxa"/>
                </w:tcPr>
                <w:p w14:paraId="3F687810"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LBT failure (one octet)</w:t>
                  </w:r>
                </w:p>
              </w:tc>
            </w:tr>
            <w:tr w:rsidR="000118E1" w:rsidRPr="000118E1" w14:paraId="527A18DE" w14:textId="77777777" w:rsidTr="009C13A7">
              <w:trPr>
                <w:jc w:val="center"/>
              </w:trPr>
              <w:tc>
                <w:tcPr>
                  <w:tcW w:w="1701" w:type="dxa"/>
                  <w:gridSpan w:val="2"/>
                </w:tcPr>
                <w:p w14:paraId="257CA9C6"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50</w:t>
                  </w:r>
                </w:p>
              </w:tc>
              <w:tc>
                <w:tcPr>
                  <w:tcW w:w="7501" w:type="dxa"/>
                </w:tcPr>
                <w:p w14:paraId="3A89C5E8"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 xml:space="preserve">BFR </w:t>
                  </w:r>
                  <w:r w:rsidRPr="000118E1">
                    <w:rPr>
                      <w:rFonts w:ascii="Arial" w:eastAsia="Malgun Gothic" w:hAnsi="Arial"/>
                      <w:noProof/>
                      <w:sz w:val="18"/>
                      <w:lang w:eastAsia="ko-KR"/>
                    </w:rPr>
                    <w:t>(one octet C</w:t>
                  </w:r>
                  <w:r w:rsidRPr="000118E1">
                    <w:rPr>
                      <w:rFonts w:ascii="Arial" w:eastAsia="Malgun Gothic" w:hAnsi="Arial"/>
                      <w:noProof/>
                      <w:sz w:val="18"/>
                      <w:vertAlign w:val="subscript"/>
                      <w:lang w:eastAsia="ko-KR"/>
                    </w:rPr>
                    <w:t>i</w:t>
                  </w:r>
                  <w:r w:rsidRPr="000118E1">
                    <w:rPr>
                      <w:rFonts w:ascii="Arial" w:eastAsia="Malgun Gothic" w:hAnsi="Arial"/>
                      <w:noProof/>
                      <w:sz w:val="18"/>
                      <w:lang w:eastAsia="ko-KR"/>
                    </w:rPr>
                    <w:t>)</w:t>
                  </w:r>
                </w:p>
              </w:tc>
            </w:tr>
            <w:tr w:rsidR="000118E1" w:rsidRPr="000118E1" w14:paraId="5E6452FC" w14:textId="77777777" w:rsidTr="009C13A7">
              <w:trPr>
                <w:jc w:val="center"/>
              </w:trPr>
              <w:tc>
                <w:tcPr>
                  <w:tcW w:w="1701" w:type="dxa"/>
                  <w:gridSpan w:val="2"/>
                </w:tcPr>
                <w:p w14:paraId="3118D058"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51</w:t>
                  </w:r>
                </w:p>
              </w:tc>
              <w:tc>
                <w:tcPr>
                  <w:tcW w:w="7501" w:type="dxa"/>
                </w:tcPr>
                <w:p w14:paraId="1FFD95B0"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 xml:space="preserve">Truncated BFR </w:t>
                  </w:r>
                  <w:r w:rsidRPr="000118E1">
                    <w:rPr>
                      <w:rFonts w:ascii="Arial" w:eastAsia="Malgun Gothic" w:hAnsi="Arial"/>
                      <w:noProof/>
                      <w:sz w:val="18"/>
                      <w:lang w:eastAsia="ko-KR"/>
                    </w:rPr>
                    <w:t>(one octet C</w:t>
                  </w:r>
                  <w:r w:rsidRPr="000118E1">
                    <w:rPr>
                      <w:rFonts w:ascii="Arial" w:eastAsia="Malgun Gothic" w:hAnsi="Arial"/>
                      <w:noProof/>
                      <w:sz w:val="18"/>
                      <w:vertAlign w:val="subscript"/>
                      <w:lang w:eastAsia="ko-KR"/>
                    </w:rPr>
                    <w:t>i</w:t>
                  </w:r>
                  <w:r w:rsidRPr="000118E1">
                    <w:rPr>
                      <w:rFonts w:ascii="Arial" w:eastAsia="Malgun Gothic" w:hAnsi="Arial"/>
                      <w:noProof/>
                      <w:sz w:val="18"/>
                      <w:lang w:eastAsia="ko-KR"/>
                    </w:rPr>
                    <w:t>)</w:t>
                  </w:r>
                </w:p>
              </w:tc>
            </w:tr>
            <w:tr w:rsidR="000118E1" w:rsidRPr="000118E1" w14:paraId="6412E466" w14:textId="77777777" w:rsidTr="009C13A7">
              <w:trPr>
                <w:jc w:val="center"/>
              </w:trPr>
              <w:tc>
                <w:tcPr>
                  <w:tcW w:w="1701" w:type="dxa"/>
                  <w:gridSpan w:val="2"/>
                </w:tcPr>
                <w:p w14:paraId="49D0636A" w14:textId="77777777" w:rsidR="000118E1" w:rsidRPr="000118E1" w:rsidDel="00C77ADE"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52</w:t>
                  </w:r>
                </w:p>
              </w:tc>
              <w:tc>
                <w:tcPr>
                  <w:tcW w:w="7501" w:type="dxa"/>
                </w:tcPr>
                <w:p w14:paraId="5A82B97D"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CCCH of size 48 bits (referred to as "CCCH" in TS 38.331 [5]), except for a RedCap UE</w:t>
                  </w:r>
                </w:p>
              </w:tc>
            </w:tr>
            <w:tr w:rsidR="000118E1" w:rsidRPr="000118E1" w14:paraId="2A56859E" w14:textId="77777777" w:rsidTr="009C13A7">
              <w:trPr>
                <w:jc w:val="center"/>
              </w:trPr>
              <w:tc>
                <w:tcPr>
                  <w:tcW w:w="1701" w:type="dxa"/>
                  <w:gridSpan w:val="2"/>
                </w:tcPr>
                <w:p w14:paraId="43D0FDCA"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53</w:t>
                  </w:r>
                </w:p>
              </w:tc>
              <w:tc>
                <w:tcPr>
                  <w:tcW w:w="7501" w:type="dxa"/>
                </w:tcPr>
                <w:p w14:paraId="43A4F4F7"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Recommended bit rate query</w:t>
                  </w:r>
                </w:p>
              </w:tc>
            </w:tr>
            <w:tr w:rsidR="000118E1" w:rsidRPr="000118E1" w14:paraId="1486BE67" w14:textId="77777777" w:rsidTr="009C13A7">
              <w:trPr>
                <w:jc w:val="center"/>
              </w:trPr>
              <w:tc>
                <w:tcPr>
                  <w:tcW w:w="1701" w:type="dxa"/>
                  <w:gridSpan w:val="2"/>
                </w:tcPr>
                <w:p w14:paraId="5450C8BA" w14:textId="77777777" w:rsidR="000118E1" w:rsidRPr="000118E1" w:rsidDel="00EC5CCA"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54</w:t>
                  </w:r>
                </w:p>
              </w:tc>
              <w:tc>
                <w:tcPr>
                  <w:tcW w:w="7501" w:type="dxa"/>
                </w:tcPr>
                <w:p w14:paraId="3A31689A"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Multiple Entry PHR (four octets C</w:t>
                  </w:r>
                  <w:r w:rsidRPr="000118E1">
                    <w:rPr>
                      <w:rFonts w:ascii="Arial" w:hAnsi="Arial"/>
                      <w:noProof/>
                      <w:sz w:val="18"/>
                      <w:vertAlign w:val="subscript"/>
                      <w:lang w:eastAsia="ko-KR"/>
                    </w:rPr>
                    <w:t>i</w:t>
                  </w:r>
                  <w:r w:rsidRPr="000118E1">
                    <w:rPr>
                      <w:rFonts w:ascii="Arial" w:hAnsi="Arial"/>
                      <w:noProof/>
                      <w:sz w:val="18"/>
                      <w:lang w:eastAsia="ko-KR"/>
                    </w:rPr>
                    <w:t>)</w:t>
                  </w:r>
                </w:p>
              </w:tc>
            </w:tr>
            <w:tr w:rsidR="000118E1" w:rsidRPr="000118E1" w14:paraId="36C6D7D8" w14:textId="77777777" w:rsidTr="009C13A7">
              <w:trPr>
                <w:jc w:val="center"/>
              </w:trPr>
              <w:tc>
                <w:tcPr>
                  <w:tcW w:w="1701" w:type="dxa"/>
                  <w:gridSpan w:val="2"/>
                </w:tcPr>
                <w:p w14:paraId="104342D2"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55</w:t>
                  </w:r>
                </w:p>
              </w:tc>
              <w:tc>
                <w:tcPr>
                  <w:tcW w:w="7501" w:type="dxa"/>
                </w:tcPr>
                <w:p w14:paraId="7F673E1D"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Configured Grant Confirmation</w:t>
                  </w:r>
                </w:p>
              </w:tc>
            </w:tr>
            <w:tr w:rsidR="000118E1" w:rsidRPr="000118E1" w14:paraId="76B3D486" w14:textId="77777777" w:rsidTr="009C13A7">
              <w:trPr>
                <w:jc w:val="center"/>
              </w:trPr>
              <w:tc>
                <w:tcPr>
                  <w:tcW w:w="1701" w:type="dxa"/>
                  <w:gridSpan w:val="2"/>
                </w:tcPr>
                <w:p w14:paraId="0553564F"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56</w:t>
                  </w:r>
                </w:p>
              </w:tc>
              <w:tc>
                <w:tcPr>
                  <w:tcW w:w="7501" w:type="dxa"/>
                </w:tcPr>
                <w:p w14:paraId="6922CA32"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Multiple Entry PHR (one octet C</w:t>
                  </w:r>
                  <w:r w:rsidRPr="000118E1">
                    <w:rPr>
                      <w:rFonts w:ascii="Arial" w:hAnsi="Arial"/>
                      <w:noProof/>
                      <w:sz w:val="18"/>
                      <w:vertAlign w:val="subscript"/>
                      <w:lang w:eastAsia="ko-KR"/>
                    </w:rPr>
                    <w:t>i</w:t>
                  </w:r>
                  <w:r w:rsidRPr="000118E1">
                    <w:rPr>
                      <w:rFonts w:ascii="Arial" w:hAnsi="Arial"/>
                      <w:noProof/>
                      <w:sz w:val="18"/>
                      <w:lang w:eastAsia="ko-KR"/>
                    </w:rPr>
                    <w:t>)</w:t>
                  </w:r>
                </w:p>
              </w:tc>
            </w:tr>
            <w:tr w:rsidR="000118E1" w:rsidRPr="000118E1" w14:paraId="7B5A8D78" w14:textId="77777777" w:rsidTr="009C13A7">
              <w:trPr>
                <w:jc w:val="center"/>
              </w:trPr>
              <w:tc>
                <w:tcPr>
                  <w:tcW w:w="1701" w:type="dxa"/>
                  <w:gridSpan w:val="2"/>
                </w:tcPr>
                <w:p w14:paraId="6BED1C40"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57</w:t>
                  </w:r>
                </w:p>
              </w:tc>
              <w:tc>
                <w:tcPr>
                  <w:tcW w:w="7501" w:type="dxa"/>
                </w:tcPr>
                <w:p w14:paraId="0261C1F5"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Single Entry PHR</w:t>
                  </w:r>
                </w:p>
              </w:tc>
            </w:tr>
            <w:tr w:rsidR="000118E1" w:rsidRPr="000118E1" w14:paraId="72796164" w14:textId="77777777" w:rsidTr="009C13A7">
              <w:trPr>
                <w:jc w:val="center"/>
              </w:trPr>
              <w:tc>
                <w:tcPr>
                  <w:tcW w:w="1701" w:type="dxa"/>
                  <w:gridSpan w:val="2"/>
                </w:tcPr>
                <w:p w14:paraId="5BF24103"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58</w:t>
                  </w:r>
                </w:p>
              </w:tc>
              <w:tc>
                <w:tcPr>
                  <w:tcW w:w="7501" w:type="dxa"/>
                </w:tcPr>
                <w:p w14:paraId="77B4E9C7"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C-RNTI</w:t>
                  </w:r>
                </w:p>
              </w:tc>
            </w:tr>
            <w:tr w:rsidR="000118E1" w:rsidRPr="000118E1" w14:paraId="1CA73D23" w14:textId="77777777" w:rsidTr="009C13A7">
              <w:trPr>
                <w:jc w:val="center"/>
              </w:trPr>
              <w:tc>
                <w:tcPr>
                  <w:tcW w:w="1701" w:type="dxa"/>
                  <w:gridSpan w:val="2"/>
                </w:tcPr>
                <w:p w14:paraId="359A1AF6"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59</w:t>
                  </w:r>
                </w:p>
              </w:tc>
              <w:tc>
                <w:tcPr>
                  <w:tcW w:w="7501" w:type="dxa"/>
                </w:tcPr>
                <w:p w14:paraId="74091CEA"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Short Truncated BSR</w:t>
                  </w:r>
                </w:p>
              </w:tc>
            </w:tr>
            <w:tr w:rsidR="000118E1" w:rsidRPr="000118E1" w14:paraId="6206213B" w14:textId="77777777" w:rsidTr="009C13A7">
              <w:trPr>
                <w:jc w:val="center"/>
              </w:trPr>
              <w:tc>
                <w:tcPr>
                  <w:tcW w:w="1701" w:type="dxa"/>
                  <w:gridSpan w:val="2"/>
                </w:tcPr>
                <w:p w14:paraId="56E13291"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60</w:t>
                  </w:r>
                </w:p>
              </w:tc>
              <w:tc>
                <w:tcPr>
                  <w:tcW w:w="7501" w:type="dxa"/>
                </w:tcPr>
                <w:p w14:paraId="185DD020"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Long Truncated BSR</w:t>
                  </w:r>
                </w:p>
              </w:tc>
            </w:tr>
            <w:tr w:rsidR="000118E1" w:rsidRPr="000118E1" w14:paraId="44A9A82D" w14:textId="77777777" w:rsidTr="009C13A7">
              <w:trPr>
                <w:jc w:val="center"/>
              </w:trPr>
              <w:tc>
                <w:tcPr>
                  <w:tcW w:w="1701" w:type="dxa"/>
                  <w:gridSpan w:val="2"/>
                </w:tcPr>
                <w:p w14:paraId="2035CAD3"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61</w:t>
                  </w:r>
                </w:p>
              </w:tc>
              <w:tc>
                <w:tcPr>
                  <w:tcW w:w="7501" w:type="dxa"/>
                </w:tcPr>
                <w:p w14:paraId="4AB2B3D4"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Short BSR</w:t>
                  </w:r>
                </w:p>
              </w:tc>
            </w:tr>
            <w:tr w:rsidR="000118E1" w:rsidRPr="000118E1" w14:paraId="14CF472B" w14:textId="77777777" w:rsidTr="009C13A7">
              <w:trPr>
                <w:jc w:val="center"/>
              </w:trPr>
              <w:tc>
                <w:tcPr>
                  <w:tcW w:w="1701" w:type="dxa"/>
                  <w:gridSpan w:val="2"/>
                </w:tcPr>
                <w:p w14:paraId="3BA5B039"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62</w:t>
                  </w:r>
                </w:p>
              </w:tc>
              <w:tc>
                <w:tcPr>
                  <w:tcW w:w="7501" w:type="dxa"/>
                </w:tcPr>
                <w:p w14:paraId="5E66476F"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Long BSR</w:t>
                  </w:r>
                </w:p>
              </w:tc>
            </w:tr>
            <w:tr w:rsidR="000118E1" w:rsidRPr="000118E1" w14:paraId="4D706F7F" w14:textId="77777777" w:rsidTr="009C13A7">
              <w:trPr>
                <w:jc w:val="center"/>
              </w:trPr>
              <w:tc>
                <w:tcPr>
                  <w:tcW w:w="1701" w:type="dxa"/>
                  <w:gridSpan w:val="2"/>
                </w:tcPr>
                <w:p w14:paraId="6EE9E7ED" w14:textId="77777777" w:rsidR="000118E1" w:rsidRPr="000118E1" w:rsidRDefault="000118E1" w:rsidP="000118E1">
                  <w:pPr>
                    <w:keepNext/>
                    <w:keepLines/>
                    <w:overflowPunct w:val="0"/>
                    <w:autoSpaceDE w:val="0"/>
                    <w:autoSpaceDN w:val="0"/>
                    <w:adjustRightInd w:val="0"/>
                    <w:spacing w:after="0"/>
                    <w:jc w:val="center"/>
                    <w:textAlignment w:val="baseline"/>
                    <w:rPr>
                      <w:rFonts w:ascii="Arial" w:hAnsi="Arial"/>
                      <w:noProof/>
                      <w:sz w:val="18"/>
                      <w:lang w:eastAsia="ko-KR"/>
                    </w:rPr>
                  </w:pPr>
                  <w:r w:rsidRPr="000118E1">
                    <w:rPr>
                      <w:rFonts w:ascii="Arial" w:hAnsi="Arial"/>
                      <w:noProof/>
                      <w:sz w:val="18"/>
                      <w:lang w:eastAsia="ko-KR"/>
                    </w:rPr>
                    <w:t>63</w:t>
                  </w:r>
                </w:p>
              </w:tc>
              <w:tc>
                <w:tcPr>
                  <w:tcW w:w="7501" w:type="dxa"/>
                </w:tcPr>
                <w:p w14:paraId="1E736EDA" w14:textId="77777777" w:rsidR="000118E1" w:rsidRPr="000118E1" w:rsidRDefault="000118E1" w:rsidP="000118E1">
                  <w:pPr>
                    <w:keepNext/>
                    <w:keepLines/>
                    <w:overflowPunct w:val="0"/>
                    <w:autoSpaceDE w:val="0"/>
                    <w:autoSpaceDN w:val="0"/>
                    <w:adjustRightInd w:val="0"/>
                    <w:spacing w:after="0"/>
                    <w:textAlignment w:val="baseline"/>
                    <w:rPr>
                      <w:rFonts w:ascii="Arial" w:hAnsi="Arial"/>
                      <w:noProof/>
                      <w:sz w:val="18"/>
                      <w:lang w:eastAsia="ko-KR"/>
                    </w:rPr>
                  </w:pPr>
                  <w:r w:rsidRPr="000118E1">
                    <w:rPr>
                      <w:rFonts w:ascii="Arial" w:hAnsi="Arial"/>
                      <w:noProof/>
                      <w:sz w:val="18"/>
                      <w:lang w:eastAsia="ko-KR"/>
                    </w:rPr>
                    <w:t>Padding</w:t>
                  </w:r>
                </w:p>
              </w:tc>
            </w:tr>
          </w:tbl>
          <w:p w14:paraId="3F6F035B" w14:textId="77777777" w:rsidR="000118E1" w:rsidRDefault="000118E1" w:rsidP="009339CB"/>
        </w:tc>
      </w:tr>
    </w:tbl>
    <w:p w14:paraId="75BD3DC2" w14:textId="77777777" w:rsidR="000118E1" w:rsidRDefault="000118E1" w:rsidP="009339CB"/>
    <w:p w14:paraId="3DF901F4" w14:textId="2F8B1803" w:rsidR="000118E1" w:rsidRDefault="000118E1" w:rsidP="009339CB">
      <w:r>
        <w:t>Reserving further two LCID values for the R18 purpose seems to have rather an extensive impact to the available LCID value space (only 6 reserve values left). It would seem beneficial to exploit the allocated LCID values for R17 RedCap to indicate support of R18 RedCap and utilize, e.g., a reserved bit of the MAC subheader for CCCH for the indication.</w:t>
      </w:r>
    </w:p>
    <w:p w14:paraId="77435E3D" w14:textId="725B1450" w:rsidR="000118E1" w:rsidRPr="000118E1" w:rsidRDefault="000118E1" w:rsidP="009339CB">
      <w:pPr>
        <w:rPr>
          <w:b/>
          <w:bCs/>
        </w:rPr>
      </w:pPr>
      <w:r>
        <w:rPr>
          <w:b/>
          <w:bCs/>
        </w:rPr>
        <w:lastRenderedPageBreak/>
        <w:t>Proposal 3: Seek to specify Msg3/MsgA PUSCH early indication such that new LCID values need not to be reserved for the purpose.</w:t>
      </w:r>
    </w:p>
    <w:p w14:paraId="69B7B8E6" w14:textId="445C5C44" w:rsidR="009339CB" w:rsidRDefault="005A13AB" w:rsidP="009339CB">
      <w:pPr>
        <w:pStyle w:val="Heading1"/>
      </w:pPr>
      <w:r>
        <w:t>3</w:t>
      </w:r>
      <w:r w:rsidR="009339CB" w:rsidRPr="006E13D1">
        <w:tab/>
      </w:r>
      <w:r w:rsidR="009339CB">
        <w:t>Conclusion</w:t>
      </w:r>
    </w:p>
    <w:p w14:paraId="5BF9E05C" w14:textId="77777777" w:rsidR="000118E1" w:rsidRPr="00731857" w:rsidRDefault="000118E1" w:rsidP="000118E1">
      <w:pPr>
        <w:rPr>
          <w:b/>
          <w:bCs/>
          <w:lang w:val="en-US"/>
        </w:rPr>
      </w:pPr>
      <w:r>
        <w:rPr>
          <w:b/>
          <w:bCs/>
        </w:rPr>
        <w:t xml:space="preserve">Proposal 1: Support separate early indication of R18 RedCap device from the R17 RedCap device. </w:t>
      </w:r>
    </w:p>
    <w:p w14:paraId="1C2112D9" w14:textId="77777777" w:rsidR="000118E1" w:rsidRPr="000118E1" w:rsidRDefault="000118E1" w:rsidP="000118E1">
      <w:pPr>
        <w:rPr>
          <w:b/>
          <w:bCs/>
          <w:lang w:val="en-US"/>
        </w:rPr>
      </w:pPr>
      <w:r>
        <w:rPr>
          <w:b/>
          <w:bCs/>
          <w:lang w:val="en-US"/>
        </w:rPr>
        <w:t xml:space="preserve">Proposal 2: Support both Msg1/MsgA preamble (separate RACH partition) and Msg3/MsgA PUSCH based early indications </w:t>
      </w:r>
      <w:proofErr w:type="gramStart"/>
      <w:r>
        <w:rPr>
          <w:b/>
          <w:bCs/>
          <w:lang w:val="en-US"/>
        </w:rPr>
        <w:t>similar to</w:t>
      </w:r>
      <w:proofErr w:type="gramEnd"/>
      <w:r>
        <w:rPr>
          <w:b/>
          <w:bCs/>
          <w:lang w:val="en-US"/>
        </w:rPr>
        <w:t xml:space="preserve"> R17 RedCap devices.</w:t>
      </w:r>
    </w:p>
    <w:p w14:paraId="3BDCD81D" w14:textId="77777777" w:rsidR="000118E1" w:rsidRPr="000118E1" w:rsidRDefault="000118E1" w:rsidP="000118E1">
      <w:pPr>
        <w:rPr>
          <w:b/>
          <w:bCs/>
        </w:rPr>
      </w:pPr>
      <w:r>
        <w:rPr>
          <w:b/>
          <w:bCs/>
        </w:rPr>
        <w:t>Proposal 3: Seek to specify Msg3/MsgA PUSCH early indication such that new LCID values need not to be reserved for the purpose.</w:t>
      </w:r>
    </w:p>
    <w:p w14:paraId="264C6636" w14:textId="77777777" w:rsidR="000118E1" w:rsidRPr="000118E1" w:rsidRDefault="000118E1" w:rsidP="000118E1"/>
    <w:sectPr w:rsidR="000118E1" w:rsidRPr="000118E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8"/>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8E1"/>
    <w:rsid w:val="00016557"/>
    <w:rsid w:val="00023C40"/>
    <w:rsid w:val="00033397"/>
    <w:rsid w:val="00040095"/>
    <w:rsid w:val="000515F0"/>
    <w:rsid w:val="00065268"/>
    <w:rsid w:val="00073C9C"/>
    <w:rsid w:val="00076412"/>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1857"/>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2BF1"/>
    <w:rsid w:val="00E038FB"/>
    <w:rsid w:val="00E46C08"/>
    <w:rsid w:val="00E471CF"/>
    <w:rsid w:val="00E62835"/>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305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E02BF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E02BF1"/>
    <w:rPr>
      <w:rFonts w:eastAsia="SimSun"/>
      <w:lang w:eastAsia="en-US"/>
    </w:rPr>
  </w:style>
  <w:style w:type="table" w:styleId="TableGrid">
    <w:name w:val="Table Grid"/>
    <w:basedOn w:val="TableNormal"/>
    <w:rsid w:val="00011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7e/Docs/RP-22354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5AIRPNAIUNRU-859666464-13185</_dlc_DocId>
    <_dlc_DocIdUrl xmlns="71c5aaf6-e6ce-465b-b873-5148d2a4c105">
      <Url>https://nokia.sharepoint.com/sites/c5g/e2earch/_layouts/15/DocIdRedir.aspx?ID=5AIRPNAIUNRU-859666464-13185</Url>
      <Description>5AIRPNAIUNRU-859666464-13185</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purl.org/dc/elements/1.1/"/>
    <ds:schemaRef ds:uri="http://schemas.openxmlformats.org/package/2006/metadata/core-properties"/>
    <ds:schemaRef ds:uri="a3840f4f-04be-43d1-b2ef-6ff1382503c7"/>
    <ds:schemaRef ds:uri="http://www.w3.org/XML/1998/namespace"/>
    <ds:schemaRef ds:uri="http://schemas.microsoft.com/office/infopath/2007/PartnerControls"/>
    <ds:schemaRef ds:uri="83f22d2f-d16e-4be6-ad4f-29fa0b067c3c"/>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1104</Words>
  <Characters>5230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6322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4</cp:revision>
  <dcterms:created xsi:type="dcterms:W3CDTF">2023-02-15T12:32:00Z</dcterms:created>
  <dcterms:modified xsi:type="dcterms:W3CDTF">2023-02-16T13:45:00Z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c15b7711-dbe0-4889-a11b-5d6652ad2c40</vt:lpwstr>
  </property>
</Properties>
</file>